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9" w:rsidRPr="00E97289" w:rsidRDefault="00E97289" w:rsidP="00E97289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aps/>
          <w:color w:val="444444"/>
          <w:kern w:val="36"/>
          <w:sz w:val="33"/>
          <w:szCs w:val="33"/>
          <w:lang w:eastAsia="ru-RU"/>
        </w:rPr>
      </w:pPr>
      <w:r w:rsidRPr="00E97289">
        <w:rPr>
          <w:rFonts w:ascii="inherit" w:eastAsia="Times New Roman" w:hAnsi="inherit" w:cs="Times New Roman"/>
          <w:b/>
          <w:bCs/>
          <w:caps/>
          <w:color w:val="444444"/>
          <w:kern w:val="36"/>
          <w:sz w:val="33"/>
          <w:szCs w:val="33"/>
          <w:lang w:eastAsia="ru-RU"/>
        </w:rPr>
        <w:br/>
        <w:t>КАРАЧАЕВО-ЧЕРКЕССКОЕ РЕСПУБЛИКАНСКОЕ ГОСУДАРСТВЕННОЕ УНИТАРНОЕ ПРЕДПРИЯТИЕ «ГАРАНТИЙНЫЙ ФОНД ПОДДЕРЖКИ ПРЕДПРИНИМАТЕЛЬСТВА КАРАЧАЕВО-ЧЕРКЕССКОЙ РЕСПУБЛИКИ»</w:t>
      </w:r>
    </w:p>
    <w:p w:rsidR="00E97289" w:rsidRPr="00E97289" w:rsidRDefault="00E97289" w:rsidP="00E97289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proofErr w:type="spellStart"/>
      <w:proofErr w:type="gramStart"/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C</w:t>
      </w:r>
      <w:proofErr w:type="gramEnd"/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оздан</w:t>
      </w:r>
      <w:proofErr w:type="spellEnd"/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 xml:space="preserve"> в соответствии с постановлением Правительства Карачаево-Черкесской Республики от 15.09.2009 № 322 «О создании Карачаево-Черкесского республиканского государственного унитарного предприятия «Гарантийный фонд поддержки предпринимательства Карачаево-Черкесской Республики</w:t>
      </w: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br/>
        <w:t>Целями деятельности Гарантийного фонда поддержки предпринимательства Карачаево-Черкесской Республики являются: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• обеспечение равного доступа субъектов малого и среднего предпринимательства к кредитным и иным финансовым ресурсам;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• развитие в Карачаево-Черкесской Республике системы кредитования малого и среднего предпринимательства, основанных на кредитных договорах, договорах займа и лизинга;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• развитие инфраструктуры финансирования субъектов малого и среднего предпринимательства на возвратной основе в форме кредитов, займов, лизинга машин и оборудования;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 xml:space="preserve">• стимулирование банковского обслуживания малого и среднего бизнеса благодаря системе </w:t>
      </w:r>
      <w:proofErr w:type="gramStart"/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контроля за</w:t>
      </w:r>
      <w:proofErr w:type="gramEnd"/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 xml:space="preserve"> выполнением задач, стоящих перед каждым Банком — партнёром;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• пропаганда идей малого предпринимательства (информатизация малого предпринимательства), максимальное удовлетворение потребностей малого бизнеса в кредитных ресурсах и оказание поддержки малого предпринимательства;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• получение прибыли.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Гарантийный фонд поддержки предпринимательства Карачаево-Черкесской Республики осуществляет следующие виды деятельности: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• предоставление поручительств по обязательствам (кредитам, займам, договорам лизинга и т.д.) малых и средних предприятий и организаций инфраструктуры поддержки малого и среднего предпринимательства;</w:t>
      </w:r>
    </w:p>
    <w:p w:rsidR="00E97289" w:rsidRPr="00E97289" w:rsidRDefault="00E97289" w:rsidP="00E97289">
      <w:pPr>
        <w:spacing w:after="150" w:line="240" w:lineRule="auto"/>
        <w:rPr>
          <w:rFonts w:ascii="Arial" w:eastAsia="Times New Roman" w:hAnsi="Arial" w:cs="Arial"/>
          <w:color w:val="7A7A7A"/>
          <w:sz w:val="21"/>
          <w:szCs w:val="21"/>
          <w:lang w:eastAsia="ru-RU"/>
        </w:rPr>
      </w:pPr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• проведение отбора банков — партнеров для участия в программе предоставления поручитель</w:t>
      </w:r>
      <w:proofErr w:type="gramStart"/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ств Пр</w:t>
      </w:r>
      <w:proofErr w:type="gramEnd"/>
      <w:r w:rsidRPr="00E97289">
        <w:rPr>
          <w:rFonts w:ascii="Arial" w:eastAsia="Times New Roman" w:hAnsi="Arial" w:cs="Arial"/>
          <w:color w:val="7A7A7A"/>
          <w:sz w:val="21"/>
          <w:szCs w:val="21"/>
          <w:lang w:eastAsia="ru-RU"/>
        </w:rPr>
        <w:t>едприятием.</w:t>
      </w: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Pr="00E97289" w:rsidRDefault="00E97289" w:rsidP="00E97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6" w:history="1">
        <w:r w:rsidRPr="00E972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Микрофинансирование КЧР</w:t>
        </w:r>
      </w:hyperlink>
    </w:p>
    <w:p w:rsidR="00E97289" w:rsidRPr="00E97289" w:rsidRDefault="00E97289" w:rsidP="00E9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CE8667" wp14:editId="1406FB02">
                <wp:extent cx="304800" cy="304800"/>
                <wp:effectExtent l="0" t="0" r="0" b="0"/>
                <wp:docPr id="15" name="AutoShape 12" descr="http://www.mf09.ru/sites/default/files/m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://www.mf09.ru/sites/default/files/m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Xe+Jrt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Карачаево-Черкесской Республики «</w:t>
      </w:r>
      <w:proofErr w:type="spellStart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поддержки субъектов малого и среднего предпринимательства Карачаево-Черкесской Республики", создано в соответствии с Гражданским кодексом Российской Федерации, Федеральным законом от 03.11.2006г. № 174-ФЗ «Об автономных учреждениях» и Постановлением Правительства Карачаево-Черкесской Республики от 24 февраля 2010г. №45 «О создании автономного учреждения Карачаево-Черкесской Республики «Фонд микрофинансирования субъектов малого и среднего предпринимательства Карачаево-Черкесской Республики» и зарегистрировано МИФНС России</w:t>
      </w:r>
      <w:proofErr w:type="gramEnd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КЧР №3, дата регистрации 09.03.2010 года, ОГРН: 1100917000744, ИНН 0917015985, КПП 091701001.</w:t>
      </w:r>
    </w:p>
    <w:p w:rsidR="00E97289" w:rsidRPr="00E97289" w:rsidRDefault="00E97289" w:rsidP="00E9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Министерство экономического развития Карачаево-Черкесской Республики.</w:t>
      </w:r>
    </w:p>
    <w:p w:rsidR="00E97289" w:rsidRPr="00E97289" w:rsidRDefault="00E97289" w:rsidP="00E9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деятельности по выдачи займов: 25.11.2010г.</w:t>
      </w:r>
    </w:p>
    <w:p w:rsidR="00E97289" w:rsidRPr="00E97289" w:rsidRDefault="00E97289" w:rsidP="00E9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Карачаево-Черкесской Республики «</w:t>
      </w:r>
      <w:proofErr w:type="spellStart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поддержки субъектов малого и среднего предпринимательства Карачаево-Черкесской Республики" оказывает поддержку субъектам малого и среднего предпринимательства, зарегистрированным на территории Карачаево-Черкесской Республики в виде выдачи краткосрочных </w:t>
      </w:r>
      <w:proofErr w:type="spellStart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36 месяцев в размере от 50 000 до 3 000 000 рублей. Процентная ставка равна ключевой ставке ЦБРФ.</w:t>
      </w:r>
    </w:p>
    <w:p w:rsidR="00E97289" w:rsidRPr="00E97289" w:rsidRDefault="00E97289" w:rsidP="00E9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89">
        <w:rPr>
          <w:rFonts w:ascii="Times New Roman" w:eastAsia="Times New Roman" w:hAnsi="Times New Roman" w:cs="Times New Roman"/>
          <w:b/>
          <w:bCs/>
          <w:color w:val="BC4247"/>
          <w:sz w:val="27"/>
          <w:szCs w:val="27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BC4247"/>
          <w:sz w:val="27"/>
          <w:szCs w:val="27"/>
          <w:lang w:eastAsia="ru-RU"/>
        </w:rPr>
        <w:t>лефон доверия:</w:t>
      </w:r>
      <w:r w:rsidRPr="00E97289">
        <w:rPr>
          <w:rFonts w:ascii="Times New Roman" w:eastAsia="Times New Roman" w:hAnsi="Times New Roman" w:cs="Times New Roman"/>
          <w:b/>
          <w:bCs/>
          <w:color w:val="BC4247"/>
          <w:sz w:val="27"/>
          <w:szCs w:val="27"/>
          <w:lang w:eastAsia="ru-RU"/>
        </w:rPr>
        <w:t>8 (8782) 26-17-15</w:t>
      </w:r>
    </w:p>
    <w:p w:rsidR="00E97289" w:rsidRPr="00E97289" w:rsidRDefault="00E97289" w:rsidP="00E97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Микрофинансирование КЧР" w:history="1">
        <w:r w:rsidRPr="00E97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 о Микрофинансирование КЧР</w:t>
        </w:r>
      </w:hyperlink>
    </w:p>
    <w:p w:rsidR="00E97289" w:rsidRPr="00E97289" w:rsidRDefault="00E97289" w:rsidP="00E972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Pr="00E972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Контакты</w:t>
        </w:r>
      </w:hyperlink>
    </w:p>
    <w:p w:rsidR="00E97289" w:rsidRPr="00E97289" w:rsidRDefault="00E97289" w:rsidP="00E97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369000, КЧР, </w:t>
      </w:r>
      <w:proofErr w:type="spellStart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еркесск</w:t>
      </w:r>
      <w:proofErr w:type="spellEnd"/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Пушкинская 92</w:t>
      </w:r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E9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E9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E97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aukhrfm2010@yandex.ru</w:t>
        </w:r>
      </w:hyperlink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7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Телефон/факс:</w:t>
      </w:r>
      <w:r w:rsidRPr="00E97289">
        <w:rPr>
          <w:rFonts w:ascii="Times New Roman" w:eastAsia="Times New Roman" w:hAnsi="Times New Roman" w:cs="Times New Roman"/>
          <w:sz w:val="24"/>
          <w:szCs w:val="24"/>
          <w:lang w:eastAsia="ru-RU"/>
        </w:rPr>
        <w:t> 8 (8782) 28-20-36</w:t>
      </w: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Pr="00E97289" w:rsidRDefault="00E97289" w:rsidP="00E97289">
      <w:pPr>
        <w:spacing w:after="0" w:line="240" w:lineRule="auto"/>
        <w:jc w:val="center"/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30"/>
          <w:szCs w:val="30"/>
          <w:lang w:eastAsia="ru-RU"/>
        </w:rPr>
        <w:lastRenderedPageBreak/>
        <w:t>Правовая поддержка</w:t>
      </w:r>
    </w:p>
    <w:p w:rsidR="00E97289" w:rsidRPr="00E97289" w:rsidRDefault="00E97289" w:rsidP="00E97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hyperlink r:id="rId10" w:history="1">
        <w:r w:rsidRPr="00E97289">
          <w:rPr>
            <w:rFonts w:ascii="MyriadPro-Regular" w:eastAsia="Times New Roman" w:hAnsi="MyriadPro-Regular" w:cs="Times New Roman"/>
            <w:color w:val="0B1F2C"/>
            <w:sz w:val="24"/>
            <w:szCs w:val="24"/>
            <w:lang w:eastAsia="ru-RU"/>
          </w:rPr>
          <w:t>Основы правовых знаний</w:t>
        </w:r>
      </w:hyperlink>
    </w:p>
    <w:p w:rsidR="00E97289" w:rsidRPr="00E97289" w:rsidRDefault="00E97289" w:rsidP="00E97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hyperlink r:id="rId11" w:history="1">
        <w:r w:rsidRPr="00E97289">
          <w:rPr>
            <w:rFonts w:ascii="MyriadPro-Regular" w:eastAsia="Times New Roman" w:hAnsi="MyriadPro-Regular" w:cs="Times New Roman"/>
            <w:color w:val="0B1F2C"/>
            <w:sz w:val="24"/>
            <w:szCs w:val="24"/>
            <w:lang w:eastAsia="ru-RU"/>
          </w:rPr>
          <w:t>Избранные документы</w:t>
        </w:r>
      </w:hyperlink>
    </w:p>
    <w:p w:rsidR="00E97289" w:rsidRPr="00E97289" w:rsidRDefault="00E97289" w:rsidP="00E97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hyperlink r:id="rId12" w:history="1">
        <w:r w:rsidRPr="00E97289">
          <w:rPr>
            <w:rFonts w:ascii="MyriadPro-Regular" w:eastAsia="Times New Roman" w:hAnsi="MyriadPro-Regular" w:cs="Times New Roman"/>
            <w:color w:val="0B1F2C"/>
            <w:sz w:val="24"/>
            <w:szCs w:val="24"/>
            <w:lang w:eastAsia="ru-RU"/>
          </w:rPr>
          <w:t>База правовых решений для субъектов МСП</w:t>
        </w:r>
      </w:hyperlink>
    </w:p>
    <w:p w:rsidR="00E97289" w:rsidRPr="00E97289" w:rsidRDefault="00E97289" w:rsidP="00E972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yriadPro-Regular" w:eastAsia="Times New Roman" w:hAnsi="MyriadPro-Regular" w:cs="Times New Roman"/>
          <w:color w:val="000000"/>
          <w:sz w:val="24"/>
          <w:szCs w:val="24"/>
          <w:lang w:eastAsia="ru-RU"/>
        </w:rPr>
      </w:pPr>
      <w:hyperlink r:id="rId13" w:history="1">
        <w:r w:rsidRPr="00E97289">
          <w:rPr>
            <w:rFonts w:ascii="MyriadPro-Regular" w:eastAsia="Times New Roman" w:hAnsi="MyriadPro-Regular" w:cs="Times New Roman"/>
            <w:color w:val="0B1F2C"/>
            <w:sz w:val="24"/>
            <w:szCs w:val="24"/>
            <w:lang w:eastAsia="ru-RU"/>
          </w:rPr>
          <w:t>Субъекты МСП</w:t>
        </w:r>
      </w:hyperlink>
    </w:p>
    <w:p w:rsidR="00E97289" w:rsidRPr="00E97289" w:rsidRDefault="00E97289" w:rsidP="00E97289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proofErr w:type="gramStart"/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В соответствии со статьей 251 Федерального закона от 24 июля 2007 г. №209-ФЗ «О развитии малого и среднего предпринимательства в Российской Федерации» к основным задачам АО «Корпорация «МСП» в том числе отнесены организация системы мер информационной, маркетинговой, финансовой и юридической поддержки субъектов МСП, а также подготовка предложений о совершенствовании мер поддержки субъектов МСП, в том числе предложений о совершенствовании нормативно-правового</w:t>
      </w:r>
      <w:proofErr w:type="gramEnd"/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 регулирования в этой сфере.</w:t>
      </w:r>
    </w:p>
    <w:p w:rsidR="00E97289" w:rsidRPr="00E97289" w:rsidRDefault="00E97289" w:rsidP="00E97289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Приоритетными направлениями деятельности АО «Корпорация «МСП» в рамках оказания правовой поддержки субъектам МСП в 2016 году и на период 2016-2018 годов определены:</w:t>
      </w:r>
    </w:p>
    <w:p w:rsidR="00E97289" w:rsidRPr="00E97289" w:rsidRDefault="00E97289" w:rsidP="00E97289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1. Организация и реализация системы мер правовой поддержки субъектов МСП и создание необходимых механизмов и инструментов такой поддержки с целью снижения издержек на ведение бизнеса, повышения правовой грамотности малых предприятий.</w:t>
      </w:r>
    </w:p>
    <w:p w:rsidR="00E97289" w:rsidRPr="00E97289" w:rsidRDefault="00E97289" w:rsidP="00E97289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В частности, планируется обеспечить создание «базы правовых решений для субъектов МСП», содержащей описание типовых проблемных ситуаций (кейсов), возникающих при реализации субъектами МСП </w:t>
      </w:r>
      <w:proofErr w:type="gramStart"/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бизнес-проектов</w:t>
      </w:r>
      <w:proofErr w:type="gramEnd"/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, и юридических механизмов выхода из них. Указанные кейсы будут размещаться на сайте АО «Корпорация «МСП», начиная со второго квартала 2016 года.</w:t>
      </w:r>
    </w:p>
    <w:p w:rsidR="00E97289" w:rsidRPr="00E97289" w:rsidRDefault="00E97289" w:rsidP="00E97289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Корпорация также примет исчерпывающие меры по обеспечению практического применения указанных кейсов в субъектах Российской Федерации совместно с общероссийскими некоммерческими организациями, выражающими интересы субъектов МСП, в том числе с привлечением отраслевых и региональных представительств таких организаций, а также организаций, образующих инфраструктуру поддержки субъектов МСП.</w:t>
      </w:r>
    </w:p>
    <w:p w:rsidR="00E97289" w:rsidRPr="00E97289" w:rsidRDefault="00E97289" w:rsidP="00E97289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Кроме того, будут обеспечены подготовка и размещение на сайте АО «Корпорация «МСП» информационных, методических и иных материалов, содержащих разъяснения норм законодательства в сфере развития МСП.</w:t>
      </w:r>
    </w:p>
    <w:p w:rsidR="00E97289" w:rsidRPr="00E97289" w:rsidRDefault="00E97289" w:rsidP="00E97289">
      <w:pPr>
        <w:spacing w:before="100" w:beforeAutospacing="1" w:after="300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 xml:space="preserve">2. Инициирование и проработка предложений по совершенствованию нормативно-правового регулирования в сфере поддержки субъектов МСП, в том числе в целях их </w:t>
      </w: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lastRenderedPageBreak/>
        <w:t>направления в Правительственную комиссию по вопросам конкуренции и развития малого и среднего предпринимательства.</w:t>
      </w:r>
    </w:p>
    <w:p w:rsidR="00E97289" w:rsidRPr="00E97289" w:rsidRDefault="00E97289" w:rsidP="00E97289">
      <w:pPr>
        <w:spacing w:before="100" w:beforeAutospacing="1" w:line="360" w:lineRule="atLeast"/>
        <w:jc w:val="both"/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</w:pPr>
      <w:r w:rsidRPr="00E97289">
        <w:rPr>
          <w:rFonts w:ascii="MyriadPro-Regular" w:eastAsia="Times New Roman" w:hAnsi="MyriadPro-Regular" w:cs="Times New Roman"/>
          <w:color w:val="373E48"/>
          <w:sz w:val="24"/>
          <w:szCs w:val="24"/>
          <w:lang w:eastAsia="ru-RU"/>
        </w:rPr>
        <w:t>Изменения, внесенные в законодательство Российской Федерации по вопросам развития субъектов МСП, в том числе подготовленные с участием АО «Корпорация «МСП», будут оперативно размещаться на сайте АО «Корпорация «МСП».</w:t>
      </w: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E97289" w:rsidRDefault="00E97289" w:rsidP="00873A8F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</w:p>
    <w:p w:rsidR="00873A8F" w:rsidRPr="00873A8F" w:rsidRDefault="00873A8F" w:rsidP="00873A8F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0" w:name="_GoBack"/>
      <w:bookmarkEnd w:id="0"/>
      <w:r w:rsidRPr="00873A8F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CBC"/>
    <w:multiLevelType w:val="multilevel"/>
    <w:tmpl w:val="0D3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73D45"/>
    <w:multiLevelType w:val="multilevel"/>
    <w:tmpl w:val="60D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E2CE7"/>
    <w:multiLevelType w:val="multilevel"/>
    <w:tmpl w:val="B278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D2"/>
    <w:rsid w:val="00003BBB"/>
    <w:rsid w:val="00005E10"/>
    <w:rsid w:val="00021EF1"/>
    <w:rsid w:val="000409D3"/>
    <w:rsid w:val="0009312A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7CEA"/>
    <w:rsid w:val="00165DE0"/>
    <w:rsid w:val="001819C5"/>
    <w:rsid w:val="002075AD"/>
    <w:rsid w:val="00254DD7"/>
    <w:rsid w:val="002553D2"/>
    <w:rsid w:val="00267D17"/>
    <w:rsid w:val="00286892"/>
    <w:rsid w:val="002924F8"/>
    <w:rsid w:val="0029600B"/>
    <w:rsid w:val="00333924"/>
    <w:rsid w:val="0034470D"/>
    <w:rsid w:val="00370351"/>
    <w:rsid w:val="00376947"/>
    <w:rsid w:val="00376F40"/>
    <w:rsid w:val="003F0F5C"/>
    <w:rsid w:val="00417ADD"/>
    <w:rsid w:val="00422333"/>
    <w:rsid w:val="00464101"/>
    <w:rsid w:val="00464396"/>
    <w:rsid w:val="004D39F3"/>
    <w:rsid w:val="004F0E11"/>
    <w:rsid w:val="00515C87"/>
    <w:rsid w:val="00611D67"/>
    <w:rsid w:val="00627B06"/>
    <w:rsid w:val="00646432"/>
    <w:rsid w:val="006512F5"/>
    <w:rsid w:val="006C2ED6"/>
    <w:rsid w:val="006D7950"/>
    <w:rsid w:val="00786C2D"/>
    <w:rsid w:val="00791E39"/>
    <w:rsid w:val="007B0576"/>
    <w:rsid w:val="007E2A13"/>
    <w:rsid w:val="00816FA1"/>
    <w:rsid w:val="008200BB"/>
    <w:rsid w:val="0082393D"/>
    <w:rsid w:val="00823B99"/>
    <w:rsid w:val="00842C15"/>
    <w:rsid w:val="00873A8F"/>
    <w:rsid w:val="00880879"/>
    <w:rsid w:val="00887A8E"/>
    <w:rsid w:val="008C5B1C"/>
    <w:rsid w:val="00905463"/>
    <w:rsid w:val="009107A2"/>
    <w:rsid w:val="00917FF8"/>
    <w:rsid w:val="00922920"/>
    <w:rsid w:val="00935AE2"/>
    <w:rsid w:val="009661BB"/>
    <w:rsid w:val="00976131"/>
    <w:rsid w:val="00997CAF"/>
    <w:rsid w:val="00A01315"/>
    <w:rsid w:val="00A53E99"/>
    <w:rsid w:val="00A57D04"/>
    <w:rsid w:val="00AA3BD5"/>
    <w:rsid w:val="00AB30FA"/>
    <w:rsid w:val="00AD3C42"/>
    <w:rsid w:val="00B14979"/>
    <w:rsid w:val="00B30D20"/>
    <w:rsid w:val="00B7219D"/>
    <w:rsid w:val="00B76EB7"/>
    <w:rsid w:val="00B8118D"/>
    <w:rsid w:val="00B91206"/>
    <w:rsid w:val="00BD52C3"/>
    <w:rsid w:val="00C07DCE"/>
    <w:rsid w:val="00C53B26"/>
    <w:rsid w:val="00C7534D"/>
    <w:rsid w:val="00CB25AC"/>
    <w:rsid w:val="00CD5643"/>
    <w:rsid w:val="00CF5FE3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97289"/>
    <w:rsid w:val="00EA7B56"/>
    <w:rsid w:val="00F04874"/>
    <w:rsid w:val="00F0542B"/>
    <w:rsid w:val="00F16FDC"/>
    <w:rsid w:val="00F257CD"/>
    <w:rsid w:val="00F47083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685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7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3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4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2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2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9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7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09.ru/contacts" TargetMode="External"/><Relationship Id="rId13" Type="http://schemas.openxmlformats.org/officeDocument/2006/relationships/hyperlink" Target="https://corpmsp.ru/malomu_i_srednemu_biznesu/pravovaya-podderzhka/subekty-m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f09.ru/node/68" TargetMode="External"/><Relationship Id="rId12" Type="http://schemas.openxmlformats.org/officeDocument/2006/relationships/hyperlink" Target="https://corpmsp.ru/malomu_i_srednemu_biznesu/pravovaya-podderzhka/ca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09.ru/node/68" TargetMode="External"/><Relationship Id="rId11" Type="http://schemas.openxmlformats.org/officeDocument/2006/relationships/hyperlink" Target="https://corpmsp.ru/malomu_i_srednemu_biznesu/pravovaya-podderzhka/pravovaya-podderzhka-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rpmsp.ru/malomu_i_srednemu_biznesu/pravovaya-podderzhka/osnovy-pravovykh-znani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khrfm201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Мариям</cp:lastModifiedBy>
  <cp:revision>5</cp:revision>
  <dcterms:created xsi:type="dcterms:W3CDTF">2017-07-04T09:55:00Z</dcterms:created>
  <dcterms:modified xsi:type="dcterms:W3CDTF">2018-07-17T11:03:00Z</dcterms:modified>
</cp:coreProperties>
</file>